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3" w:line="185" w:lineRule="auto"/>
        <w:jc w:val="distribute"/>
        <w:rPr>
          <w:rFonts w:hint="eastAsia" w:ascii="方正小标宋简体" w:hAnsi="方正小标宋简体" w:eastAsia="方正小标宋简体" w:cs="方正小标宋简体"/>
          <w:sz w:val="143"/>
          <w:szCs w:val="143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pacing w:val="-125"/>
          <w:w w:val="88"/>
          <w:sz w:val="143"/>
          <w:szCs w:val="143"/>
        </w:rPr>
        <w:t>山东省救生协会</w:t>
      </w:r>
    </w:p>
    <w:p>
      <w:pPr>
        <w:spacing w:before="281" w:line="416" w:lineRule="exact"/>
        <w:ind w:left="278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11"/>
          <w:position w:val="2"/>
          <w:sz w:val="28"/>
          <w:szCs w:val="28"/>
        </w:rPr>
        <w:t>鲁</w:t>
      </w:r>
      <w:r>
        <w:rPr>
          <w:rFonts w:ascii="仿宋" w:hAnsi="仿宋" w:eastAsia="仿宋" w:cs="仿宋"/>
          <w:color w:val="auto"/>
          <w:spacing w:val="-8"/>
          <w:position w:val="2"/>
          <w:sz w:val="28"/>
          <w:szCs w:val="28"/>
        </w:rPr>
        <w:t>救协【202</w:t>
      </w:r>
      <w:r>
        <w:rPr>
          <w:rFonts w:hint="eastAsia" w:ascii="仿宋" w:hAnsi="仿宋" w:eastAsia="仿宋" w:cs="仿宋"/>
          <w:color w:val="auto"/>
          <w:spacing w:val="-8"/>
          <w:position w:val="2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color w:val="auto"/>
          <w:spacing w:val="-8"/>
          <w:position w:val="2"/>
          <w:sz w:val="28"/>
          <w:szCs w:val="28"/>
        </w:rPr>
        <w:t>】0</w:t>
      </w:r>
      <w:r>
        <w:rPr>
          <w:rFonts w:hint="eastAsia" w:ascii="仿宋" w:hAnsi="仿宋" w:eastAsia="仿宋" w:cs="仿宋"/>
          <w:color w:val="auto"/>
          <w:spacing w:val="-8"/>
          <w:position w:val="2"/>
          <w:sz w:val="28"/>
          <w:szCs w:val="28"/>
          <w:lang w:val="en-US" w:eastAsia="zh-CN"/>
        </w:rPr>
        <w:t>22</w:t>
      </w:r>
      <w:r>
        <w:rPr>
          <w:rFonts w:ascii="仿宋" w:hAnsi="仿宋" w:eastAsia="仿宋" w:cs="仿宋"/>
          <w:color w:val="auto"/>
          <w:spacing w:val="-8"/>
          <w:position w:val="2"/>
          <w:sz w:val="28"/>
          <w:szCs w:val="28"/>
        </w:rPr>
        <w:t xml:space="preserve"> 号</w:t>
      </w:r>
    </w:p>
    <w:p>
      <w:pPr>
        <w:spacing w:before="132" w:line="30" w:lineRule="exact"/>
        <w:ind w:firstLine="15"/>
        <w:textAlignment w:val="center"/>
      </w:pPr>
      <w:r>
        <w:rPr>
          <w:color w:val="C00000"/>
        </w:rPr>
        <w:drawing>
          <wp:inline distT="0" distB="0" distL="0" distR="0">
            <wp:extent cx="5440680" cy="19050"/>
            <wp:effectExtent l="0" t="0" r="762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关于举办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2022年山东省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现场急救工作会议的通知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C00000"/>
          <w:sz w:val="44"/>
          <w:szCs w:val="44"/>
        </w:rPr>
      </w:pPr>
    </w:p>
    <w:p>
      <w:pPr>
        <w:spacing w:before="204" w:line="356" w:lineRule="auto"/>
        <w:ind w:right="95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各会员单位、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培训机构负责人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培训师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：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根据《“十四五”国家应急体系规划》、《健康中国行动 （2019—2030 年）》，全民安全教育已经成为“十四五”期间的一项重要工作。教育部办公厅、国家体育总局办公厅相继发布有关通知，对各经营主体具备现场急救技术人才进行了准入和监管要求。为满足省内各区市开展现场急救教学与培训实际需求，拟于11月中下旬举办全省现场急救工作会议。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/>
          <w:bCs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val="en-US" w:eastAsia="zh-CN"/>
        </w:rPr>
        <w:t>一、时间、地点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（一）报到时间：2022年11月20日14:00—20:00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（二）会议时间：2022年11月21日9:00—17:00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（三）地点：山东省青岛市即墨区大田路2777号（金麒玉麟温泉山庄）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/>
          <w:bCs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val="en-US" w:eastAsia="zh-CN"/>
        </w:rPr>
        <w:t>二、参加人员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（一）省内16地市各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培训机构负责人。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（二）山东省救生协会现场急救培训师。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（三）山东省救生协会青少年现场救生培训师。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三、会议内容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（一）总结汇报2022年上半年现场急救培训工作开展情况、部属2022年下半年工作要点。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（二）优秀培训机构代表发言。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（三）发布青少年急救技术等级测评体系并研讨开展方案。</w:t>
      </w:r>
    </w:p>
    <w:p>
      <w:pPr>
        <w:spacing w:before="204" w:line="356" w:lineRule="auto"/>
        <w:ind w:right="95" w:firstLine="560"/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（四）研讨2022年全省现场急救技能大赛开展方案。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四、报名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（一）报名流程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1.请各单位于11月10日前将报名表 (附件二)的盖章扫描件电子版文件发送至邮箱：</w:t>
      </w: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u w:val="none"/>
          <w:lang w:val="en-US" w:eastAsia="zh-CN"/>
        </w:rPr>
        <w:t>sbt17606392276@163.com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联系刘老师：18596368992 (微</w:t>
      </w:r>
      <w:bookmarkStart w:id="0" w:name="_GoBack"/>
      <w:bookmarkEnd w:id="0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信同号) 确认报名资格、交费、进群。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（二）疫情防控要求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执行疫情常态化防控要求，参与人员须佩戴口罩、接受体温检测（体温≤37.3℃），出示“健康山东”健康码（绿色）和国务院行程码（未有中高风险地区旅居史），方可参会。</w:t>
      </w:r>
    </w:p>
    <w:p>
      <w:pPr>
        <w:numPr>
          <w:ilvl w:val="0"/>
          <w:numId w:val="1"/>
        </w:numPr>
        <w:spacing w:before="204" w:line="356" w:lineRule="auto"/>
        <w:ind w:right="95" w:firstLine="56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费用</w:t>
      </w:r>
    </w:p>
    <w:p>
      <w:pPr>
        <w:numPr>
          <w:ilvl w:val="0"/>
          <w:numId w:val="0"/>
        </w:numPr>
        <w:spacing w:before="204" w:line="356" w:lineRule="auto"/>
        <w:ind w:right="95" w:rightChars="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会务费：298元/人（含20号住宿、21号早餐、午餐、会议材料），往返交通费用自理。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六、联系方式</w:t>
      </w:r>
    </w:p>
    <w:p>
      <w:pPr>
        <w:spacing w:before="204" w:line="356" w:lineRule="auto"/>
        <w:ind w:right="95" w:firstLine="56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省救生协会秘书处：刘新英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电话：（0532）85692233     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18596368992 (微信同号)</w:t>
      </w:r>
    </w:p>
    <w:p>
      <w:pPr>
        <w:numPr>
          <w:ilvl w:val="0"/>
          <w:numId w:val="0"/>
        </w:numPr>
        <w:spacing w:before="204" w:line="356" w:lineRule="auto"/>
        <w:ind w:right="95" w:rightChars="0" w:firstLine="655" w:firstLineChars="20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七、附件</w:t>
      </w:r>
    </w:p>
    <w:p>
      <w:pPr>
        <w:numPr>
          <w:ilvl w:val="0"/>
          <w:numId w:val="0"/>
        </w:numPr>
        <w:spacing w:before="204" w:line="356" w:lineRule="auto"/>
        <w:ind w:right="95" w:rightChars="0" w:firstLine="652" w:firstLineChars="20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1.大会日程表</w:t>
      </w:r>
    </w:p>
    <w:p>
      <w:pPr>
        <w:spacing w:before="204" w:line="356" w:lineRule="auto"/>
        <w:ind w:right="95" w:firstLine="652" w:firstLineChars="200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2.大会报名表</w:t>
      </w:r>
    </w:p>
    <w:p>
      <w:pPr>
        <w:spacing w:before="204" w:line="356" w:lineRule="auto"/>
        <w:ind w:right="95" w:firstLine="560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</w:p>
    <w:p>
      <w:pPr>
        <w:spacing w:before="204" w:line="356" w:lineRule="auto"/>
        <w:ind w:right="95" w:firstLine="560"/>
        <w:jc w:val="right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山东省救生协会</w:t>
      </w:r>
    </w:p>
    <w:p>
      <w:pPr>
        <w:spacing w:before="204" w:line="356" w:lineRule="auto"/>
        <w:ind w:right="95" w:firstLine="560"/>
        <w:jc w:val="right"/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  <w:t>2022年10月13日</w:t>
      </w:r>
    </w:p>
    <w:p>
      <w:pPr>
        <w:spacing w:before="204" w:line="356" w:lineRule="auto"/>
        <w:ind w:right="95" w:firstLine="560"/>
        <w:jc w:val="right"/>
        <w:rPr>
          <w:rFonts w:hint="default" w:ascii="仿宋" w:hAnsi="仿宋" w:eastAsia="仿宋" w:cs="仿宋"/>
          <w:b w:val="0"/>
          <w:bCs w:val="0"/>
          <w:color w:val="auto"/>
          <w:spacing w:val="3"/>
          <w:sz w:val="32"/>
          <w:szCs w:val="32"/>
          <w:lang w:val="en-US" w:eastAsia="zh-CN"/>
        </w:rPr>
      </w:pPr>
    </w:p>
    <w:p>
      <w:pPr>
        <w:spacing w:before="204" w:line="356" w:lineRule="auto"/>
        <w:ind w:right="95"/>
        <w:rPr>
          <w:rFonts w:hint="eastAsia" w:ascii="仿宋" w:hAnsi="仿宋" w:eastAsia="仿宋" w:cs="仿宋"/>
          <w:spacing w:val="-2"/>
          <w:position w:val="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position w:val="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附件一：</w:t>
      </w:r>
    </w:p>
    <w:p>
      <w:pPr>
        <w:numPr>
          <w:ilvl w:val="0"/>
          <w:numId w:val="0"/>
        </w:numPr>
        <w:spacing w:line="465" w:lineRule="exact"/>
        <w:jc w:val="center"/>
        <w:outlineLvl w:val="0"/>
        <w:rPr>
          <w:rFonts w:hint="default" w:ascii="仿宋" w:hAnsi="仿宋" w:eastAsia="仿宋" w:cs="仿宋"/>
          <w:spacing w:val="-2"/>
          <w:position w:val="3"/>
          <w:sz w:val="40"/>
          <w:szCs w:val="40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position w:val="3"/>
          <w:sz w:val="40"/>
          <w:szCs w:val="40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大会日程表</w:t>
      </w:r>
    </w:p>
    <w:tbl>
      <w:tblPr>
        <w:tblStyle w:val="5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36"/>
        <w:gridCol w:w="3672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11月21日</w:t>
            </w:r>
          </w:p>
        </w:tc>
        <w:tc>
          <w:tcPr>
            <w:tcW w:w="123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9:00前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签到</w:t>
            </w: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8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9:00—11:30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2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会议开幕</w:t>
            </w:r>
          </w:p>
          <w:p>
            <w:pPr>
              <w:widowControl w:val="0"/>
              <w:numPr>
                <w:ilvl w:val="0"/>
                <w:numId w:val="2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总结汇报2022年上半年现场急救培训工作开展情况、部属2022年下半年工作要点。</w:t>
            </w:r>
          </w:p>
          <w:p>
            <w:pPr>
              <w:widowControl w:val="0"/>
              <w:numPr>
                <w:ilvl w:val="0"/>
                <w:numId w:val="2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优秀培训机构代表发言。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8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12:00—14:00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午餐及午休</w:t>
            </w: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二楼餐厅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8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spacing w:val="-2"/>
                <w:position w:val="3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14:00—17:00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1、集体学习、解读山东省现场急救员有关规章制度、工作程序。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2、青少年急救技术等级测评体系发布讲解。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3、研讨青少年体系省内推广方案，提出建议。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4、研讨2022年全省现场急救大赛开展方案。</w:t>
            </w: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8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default" w:ascii="仿宋" w:hAnsi="仿宋" w:eastAsia="仿宋" w:cs="仿宋"/>
                <w:spacing w:val="-2"/>
                <w:position w:val="3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17:00后</w:t>
            </w:r>
          </w:p>
        </w:tc>
        <w:tc>
          <w:tcPr>
            <w:tcW w:w="36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  <w:t>离会</w:t>
            </w:r>
          </w:p>
        </w:tc>
        <w:tc>
          <w:tcPr>
            <w:tcW w:w="2448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65" w:lineRule="exact"/>
        <w:outlineLvl w:val="0"/>
        <w:rPr>
          <w:rFonts w:hint="default" w:ascii="仿宋" w:hAnsi="仿宋" w:eastAsia="仿宋" w:cs="仿宋"/>
          <w:spacing w:val="-2"/>
          <w:position w:val="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b/>
          <w:bCs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28"/>
          <w:szCs w:val="28"/>
          <w:lang w:val="en-US" w:eastAsia="zh-CN"/>
        </w:rPr>
        <w:t>附件二：</w:t>
      </w:r>
    </w:p>
    <w:p>
      <w:pPr>
        <w:spacing w:before="204" w:line="240" w:lineRule="auto"/>
        <w:ind w:right="95"/>
        <w:rPr>
          <w:rFonts w:hint="eastAsia" w:ascii="仿宋" w:hAnsi="仿宋" w:eastAsia="仿宋" w:cs="仿宋"/>
          <w:b/>
          <w:bCs/>
          <w:color w:val="auto"/>
          <w:spacing w:val="3"/>
          <w:sz w:val="28"/>
          <w:szCs w:val="28"/>
          <w:lang w:val="en-US" w:eastAsia="zh-CN"/>
        </w:rPr>
      </w:pPr>
    </w:p>
    <w:p>
      <w:pPr>
        <w:spacing w:before="204" w:line="240" w:lineRule="auto"/>
        <w:ind w:right="95"/>
        <w:jc w:val="center"/>
        <w:rPr>
          <w:rFonts w:hint="default" w:ascii="宋体" w:hAnsi="宋体" w:eastAsia="宋体" w:cs="宋体"/>
          <w:b/>
          <w:bCs/>
          <w:color w:val="auto"/>
          <w:spacing w:val="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3"/>
          <w:sz w:val="44"/>
          <w:szCs w:val="44"/>
          <w:lang w:val="en-US" w:eastAsia="zh-CN"/>
        </w:rPr>
        <w:t>报名表</w:t>
      </w:r>
    </w:p>
    <w:p>
      <w:pPr>
        <w:spacing w:before="204" w:line="240" w:lineRule="auto"/>
        <w:ind w:right="95"/>
        <w:rPr>
          <w:rFonts w:hint="default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  <w:t>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51"/>
        <w:gridCol w:w="1272"/>
        <w:gridCol w:w="201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051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201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单位/职务</w:t>
            </w:r>
          </w:p>
        </w:tc>
        <w:tc>
          <w:tcPr>
            <w:tcW w:w="2479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51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51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51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</w:tcPr>
          <w:p>
            <w:pPr>
              <w:widowControl w:val="0"/>
              <w:numPr>
                <w:ilvl w:val="0"/>
                <w:numId w:val="0"/>
              </w:numPr>
              <w:spacing w:line="465" w:lineRule="exact"/>
              <w:outlineLvl w:val="0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3"/>
                <w:sz w:val="32"/>
                <w:szCs w:val="32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numPr>
          <w:ilvl w:val="0"/>
          <w:numId w:val="0"/>
        </w:numPr>
        <w:spacing w:line="465" w:lineRule="exact"/>
        <w:ind w:leftChars="0"/>
        <w:outlineLvl w:val="0"/>
        <w:rPr>
          <w:rFonts w:hint="default" w:ascii="仿宋" w:hAnsi="仿宋" w:eastAsia="仿宋" w:cs="仿宋"/>
          <w:spacing w:val="-2"/>
          <w:position w:val="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  <w:t>填表人：                            联系方式：</w:t>
      </w: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p>
      <w:pPr>
        <w:spacing w:line="356" w:lineRule="auto"/>
        <w:rPr>
          <w:rFonts w:hint="default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0B93E"/>
    <w:multiLevelType w:val="singleLevel"/>
    <w:tmpl w:val="1D10B9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CE49EB"/>
    <w:multiLevelType w:val="singleLevel"/>
    <w:tmpl w:val="45CE49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2I1ZGJjYmE4NzE2YTExNWI5MDM0ZjRlNDQ4OWEifQ=="/>
  </w:docVars>
  <w:rsids>
    <w:rsidRoot w:val="00000000"/>
    <w:rsid w:val="025A529E"/>
    <w:rsid w:val="02E35293"/>
    <w:rsid w:val="02F23DB3"/>
    <w:rsid w:val="036E20FF"/>
    <w:rsid w:val="038C76D9"/>
    <w:rsid w:val="03C14D8D"/>
    <w:rsid w:val="04535E18"/>
    <w:rsid w:val="0DA10224"/>
    <w:rsid w:val="0FFE370C"/>
    <w:rsid w:val="10044A9B"/>
    <w:rsid w:val="130F5C30"/>
    <w:rsid w:val="16047F13"/>
    <w:rsid w:val="1C8C02F2"/>
    <w:rsid w:val="220646A2"/>
    <w:rsid w:val="2B487ADA"/>
    <w:rsid w:val="2E7C22D3"/>
    <w:rsid w:val="30E42053"/>
    <w:rsid w:val="31331C1D"/>
    <w:rsid w:val="31FC137F"/>
    <w:rsid w:val="32180206"/>
    <w:rsid w:val="33DA3736"/>
    <w:rsid w:val="3613589B"/>
    <w:rsid w:val="3A541FF7"/>
    <w:rsid w:val="3EC84D62"/>
    <w:rsid w:val="402B0599"/>
    <w:rsid w:val="41E47544"/>
    <w:rsid w:val="49B56BA8"/>
    <w:rsid w:val="4ABD2BA6"/>
    <w:rsid w:val="4ACA1E61"/>
    <w:rsid w:val="4BAB3A41"/>
    <w:rsid w:val="513A0639"/>
    <w:rsid w:val="532365B3"/>
    <w:rsid w:val="53272E03"/>
    <w:rsid w:val="5FAF36A8"/>
    <w:rsid w:val="614C3178"/>
    <w:rsid w:val="64C574CA"/>
    <w:rsid w:val="69140A20"/>
    <w:rsid w:val="6FDB4045"/>
    <w:rsid w:val="71793B16"/>
    <w:rsid w:val="742C1313"/>
    <w:rsid w:val="747B7BA5"/>
    <w:rsid w:val="76D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260" w:line="3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941</Words>
  <Characters>1105</Characters>
  <Lines>0</Lines>
  <Paragraphs>0</Paragraphs>
  <TotalTime>8</TotalTime>
  <ScaleCrop>false</ScaleCrop>
  <LinksUpToDate>false</LinksUpToDate>
  <CharactersWithSpaces>1149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2022-09-13T03:39:00Z</dcterms:created>
  <dc:creator>Administrator</dc:creator>
  <cp:lastModifiedBy>救生君</cp:lastModifiedBy>
  <cp:lastPrinted>2022-09-29T09:22:00Z</cp:lastPrinted>
  <dcterms:modified xsi:type="dcterms:W3CDTF">2022-10-13T01:53:01Z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AFB6A4F9E192426C91835054231CCBB4</vt:lpwstr>
  </property>
</Properties>
</file>